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90" w:rsidRDefault="00CC0A36">
      <w:pPr>
        <w:tabs>
          <w:tab w:val="left" w:pos="4630"/>
        </w:tabs>
        <w:jc w:val="center"/>
        <w:rPr>
          <w:rFonts w:ascii="宋体" w:hAnsi="宋体"/>
          <w:b/>
          <w:color w:val="000000"/>
          <w:sz w:val="44"/>
          <w:szCs w:val="44"/>
        </w:rPr>
      </w:pPr>
      <w:bookmarkStart w:id="0" w:name="OLE_LINK1"/>
      <w:bookmarkStart w:id="1" w:name="OLE_LINK2"/>
      <w:r>
        <w:rPr>
          <w:rFonts w:ascii="宋体" w:hAnsi="宋体" w:hint="eastAsia"/>
          <w:b/>
          <w:color w:val="000000"/>
          <w:sz w:val="44"/>
          <w:szCs w:val="44"/>
        </w:rPr>
        <w:t>中选候选人公示</w:t>
      </w:r>
    </w:p>
    <w:bookmarkEnd w:id="0"/>
    <w:bookmarkEnd w:id="1"/>
    <w:p w:rsidR="00666C90" w:rsidRDefault="00666C90">
      <w:pPr>
        <w:tabs>
          <w:tab w:val="left" w:pos="4630"/>
        </w:tabs>
        <w:jc w:val="center"/>
        <w:rPr>
          <w:rFonts w:ascii="宋体"/>
          <w:b/>
          <w:color w:val="000000"/>
          <w:sz w:val="44"/>
          <w:szCs w:val="44"/>
        </w:rPr>
      </w:pPr>
    </w:p>
    <w:p w:rsidR="00666C90" w:rsidRDefault="00B52173" w:rsidP="00B52173">
      <w:pPr>
        <w:widowControl/>
        <w:spacing w:line="50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B52173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2020年流花中心第四季度导视与氛围画面更换项目采购</w:t>
      </w:r>
      <w:r w:rsidR="00CC0A36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评审工作已经结束，招标人评审组经综合评审推荐了本项目中标候选人。现将中选候选人情况予以公示（公示时间</w:t>
      </w:r>
      <w:r w:rsidR="00CC0A36">
        <w:rPr>
          <w:rFonts w:ascii="仿宋_GB2312" w:eastAsia="仿宋_GB2312" w:hAnsi="仿宋" w:cs="宋体" w:hint="eastAsia"/>
          <w:kern w:val="0"/>
          <w:sz w:val="28"/>
          <w:szCs w:val="28"/>
        </w:rPr>
        <w:t>从2020-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11</w:t>
      </w:r>
      <w:r w:rsidR="00870C4A">
        <w:rPr>
          <w:rFonts w:ascii="仿宋_GB2312" w:eastAsia="仿宋_GB2312" w:hAnsi="仿宋" w:cs="宋体" w:hint="eastAsia"/>
          <w:kern w:val="0"/>
          <w:sz w:val="28"/>
          <w:szCs w:val="28"/>
        </w:rPr>
        <w:t>-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2</w:t>
      </w:r>
      <w:r w:rsidR="00CC0A36">
        <w:rPr>
          <w:rFonts w:ascii="仿宋_GB2312" w:eastAsia="仿宋_GB2312" w:hAnsi="仿宋" w:cs="宋体" w:hint="eastAsia"/>
          <w:kern w:val="0"/>
          <w:sz w:val="28"/>
          <w:szCs w:val="28"/>
        </w:rPr>
        <w:t>至2020-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11</w:t>
      </w:r>
      <w:r w:rsidR="00CC0A36">
        <w:rPr>
          <w:rFonts w:ascii="仿宋_GB2312" w:eastAsia="仿宋_GB2312" w:hAnsi="仿宋" w:cs="宋体" w:hint="eastAsia"/>
          <w:kern w:val="0"/>
          <w:sz w:val="28"/>
          <w:szCs w:val="28"/>
        </w:rPr>
        <w:t>-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4</w:t>
      </w:r>
      <w:r w:rsidR="00CC0A36">
        <w:rPr>
          <w:rFonts w:ascii="仿宋_GB2312" w:eastAsia="仿宋_GB2312" w:hAnsi="仿宋" w:cs="宋体" w:hint="eastAsia"/>
          <w:kern w:val="0"/>
          <w:sz w:val="28"/>
          <w:szCs w:val="28"/>
        </w:rPr>
        <w:t>截止），</w:t>
      </w:r>
      <w:r w:rsidR="00CC0A36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具体如下：</w:t>
      </w:r>
    </w:p>
    <w:tbl>
      <w:tblPr>
        <w:tblStyle w:val="a5"/>
        <w:tblW w:w="13796" w:type="dxa"/>
        <w:tblLayout w:type="fixed"/>
        <w:tblLook w:val="04A0" w:firstRow="1" w:lastRow="0" w:firstColumn="1" w:lastColumn="0" w:noHBand="0" w:noVBand="1"/>
      </w:tblPr>
      <w:tblGrid>
        <w:gridCol w:w="1272"/>
        <w:gridCol w:w="4104"/>
        <w:gridCol w:w="4050"/>
        <w:gridCol w:w="4370"/>
      </w:tblGrid>
      <w:tr w:rsidR="00666C90">
        <w:trPr>
          <w:trHeight w:val="433"/>
        </w:trPr>
        <w:tc>
          <w:tcPr>
            <w:tcW w:w="1272" w:type="dxa"/>
            <w:vAlign w:val="center"/>
          </w:tcPr>
          <w:p w:rsidR="00666C90" w:rsidRDefault="00CC0A3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中选候选人</w:t>
            </w:r>
          </w:p>
        </w:tc>
        <w:tc>
          <w:tcPr>
            <w:tcW w:w="4104" w:type="dxa"/>
            <w:vAlign w:val="center"/>
          </w:tcPr>
          <w:p w:rsidR="00666C90" w:rsidRDefault="00CC0A3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第一候选人</w:t>
            </w:r>
          </w:p>
        </w:tc>
        <w:tc>
          <w:tcPr>
            <w:tcW w:w="4050" w:type="dxa"/>
            <w:vAlign w:val="center"/>
          </w:tcPr>
          <w:p w:rsidR="00666C90" w:rsidRDefault="00CC0A3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第二候选人</w:t>
            </w:r>
          </w:p>
        </w:tc>
        <w:tc>
          <w:tcPr>
            <w:tcW w:w="4370" w:type="dxa"/>
            <w:vAlign w:val="center"/>
          </w:tcPr>
          <w:p w:rsidR="00666C90" w:rsidRDefault="00CC0A3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第三候选人</w:t>
            </w:r>
          </w:p>
        </w:tc>
      </w:tr>
      <w:tr w:rsidR="00666C90">
        <w:trPr>
          <w:trHeight w:val="512"/>
        </w:trPr>
        <w:tc>
          <w:tcPr>
            <w:tcW w:w="1272" w:type="dxa"/>
            <w:vAlign w:val="center"/>
          </w:tcPr>
          <w:p w:rsidR="00666C90" w:rsidRDefault="00CC0A3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104" w:type="dxa"/>
            <w:vAlign w:val="center"/>
          </w:tcPr>
          <w:p w:rsidR="00666C90" w:rsidRDefault="00C84C84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proofErr w:type="gramStart"/>
            <w:r w:rsidRPr="00C84C84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广州海月唐广告设计</w:t>
            </w:r>
            <w:proofErr w:type="gramEnd"/>
            <w:r w:rsidRPr="00C84C84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制作有限公司</w:t>
            </w:r>
          </w:p>
        </w:tc>
        <w:tc>
          <w:tcPr>
            <w:tcW w:w="4050" w:type="dxa"/>
            <w:vAlign w:val="center"/>
          </w:tcPr>
          <w:p w:rsidR="00666C90" w:rsidRDefault="00C84C84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D4022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广州雾外广告有限公司</w:t>
            </w:r>
          </w:p>
        </w:tc>
        <w:tc>
          <w:tcPr>
            <w:tcW w:w="4370" w:type="dxa"/>
            <w:vAlign w:val="center"/>
          </w:tcPr>
          <w:p w:rsidR="00666C90" w:rsidRDefault="00C84C84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C84C84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广州火焱燚广告有限公司</w:t>
            </w:r>
          </w:p>
        </w:tc>
      </w:tr>
      <w:tr w:rsidR="00666C90">
        <w:tc>
          <w:tcPr>
            <w:tcW w:w="1272" w:type="dxa"/>
            <w:vAlign w:val="center"/>
          </w:tcPr>
          <w:p w:rsidR="00666C90" w:rsidRDefault="00CC0A3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报价（元）</w:t>
            </w:r>
          </w:p>
        </w:tc>
        <w:tc>
          <w:tcPr>
            <w:tcW w:w="4104" w:type="dxa"/>
            <w:vAlign w:val="center"/>
          </w:tcPr>
          <w:p w:rsidR="00666C90" w:rsidRDefault="00C84C84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C84C84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193344.83</w:t>
            </w:r>
          </w:p>
        </w:tc>
        <w:tc>
          <w:tcPr>
            <w:tcW w:w="4050" w:type="dxa"/>
            <w:vAlign w:val="center"/>
          </w:tcPr>
          <w:p w:rsidR="00666C90" w:rsidRDefault="00C84C84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C84C84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209525.47</w:t>
            </w:r>
          </w:p>
        </w:tc>
        <w:tc>
          <w:tcPr>
            <w:tcW w:w="4370" w:type="dxa"/>
            <w:vAlign w:val="center"/>
          </w:tcPr>
          <w:p w:rsidR="00666C90" w:rsidRDefault="00C84C84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C84C84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221344.56</w:t>
            </w:r>
          </w:p>
        </w:tc>
      </w:tr>
      <w:tr w:rsidR="00666C90">
        <w:trPr>
          <w:trHeight w:val="386"/>
        </w:trPr>
        <w:tc>
          <w:tcPr>
            <w:tcW w:w="1272" w:type="dxa"/>
            <w:vAlign w:val="center"/>
          </w:tcPr>
          <w:p w:rsidR="00666C90" w:rsidRDefault="00CC0A3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综合得分</w:t>
            </w:r>
          </w:p>
        </w:tc>
        <w:tc>
          <w:tcPr>
            <w:tcW w:w="4104" w:type="dxa"/>
            <w:vAlign w:val="center"/>
          </w:tcPr>
          <w:p w:rsidR="00666C90" w:rsidRDefault="00C84C84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C84C84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89.8</w:t>
            </w:r>
          </w:p>
        </w:tc>
        <w:tc>
          <w:tcPr>
            <w:tcW w:w="4050" w:type="dxa"/>
            <w:vAlign w:val="center"/>
          </w:tcPr>
          <w:p w:rsidR="00666C90" w:rsidRDefault="00C84C84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C84C84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74.8</w:t>
            </w:r>
          </w:p>
        </w:tc>
        <w:tc>
          <w:tcPr>
            <w:tcW w:w="4370" w:type="dxa"/>
            <w:vAlign w:val="center"/>
          </w:tcPr>
          <w:p w:rsidR="00666C90" w:rsidRDefault="00C84C84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C84C84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72.6</w:t>
            </w:r>
          </w:p>
        </w:tc>
      </w:tr>
      <w:tr w:rsidR="00666C90">
        <w:tc>
          <w:tcPr>
            <w:tcW w:w="1272" w:type="dxa"/>
            <w:vAlign w:val="center"/>
          </w:tcPr>
          <w:p w:rsidR="00666C90" w:rsidRDefault="00CC0A3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4104" w:type="dxa"/>
            <w:vAlign w:val="center"/>
          </w:tcPr>
          <w:p w:rsidR="00666C90" w:rsidRDefault="00666C9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50" w:type="dxa"/>
            <w:vAlign w:val="center"/>
          </w:tcPr>
          <w:p w:rsidR="00666C90" w:rsidRDefault="00666C9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70" w:type="dxa"/>
            <w:vAlign w:val="center"/>
          </w:tcPr>
          <w:p w:rsidR="00666C90" w:rsidRDefault="00666C90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666C90" w:rsidRDefault="00CC0A36">
      <w:pPr>
        <w:widowControl/>
        <w:spacing w:line="38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根据有关法律、法规及相关规定，投标人或其它利害人对该公示内容有异议的，应当在中标候选人公示期间向招标人或招标监督部门提出。</w:t>
      </w:r>
    </w:p>
    <w:p w:rsidR="00666C90" w:rsidRDefault="00CC0A36">
      <w:pPr>
        <w:widowControl/>
        <w:spacing w:line="38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异议受理部门（招标人）：广州市城投资产经营管理有限公司流花分公司；</w:t>
      </w:r>
    </w:p>
    <w:p w:rsidR="00666C90" w:rsidRDefault="00CC0A36">
      <w:pPr>
        <w:widowControl/>
        <w:spacing w:line="38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联系人：方先生；</w:t>
      </w:r>
    </w:p>
    <w:p w:rsidR="00666C90" w:rsidRDefault="00CC0A36">
      <w:pPr>
        <w:widowControl/>
        <w:spacing w:line="38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联系电话：020-83717960</w:t>
      </w:r>
    </w:p>
    <w:p w:rsidR="00666C90" w:rsidRDefault="00CC0A36">
      <w:pPr>
        <w:widowControl/>
        <w:spacing w:line="38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监督部门：广州市城投资产经营管理有限公司；</w:t>
      </w:r>
    </w:p>
    <w:p w:rsidR="00666C90" w:rsidRDefault="00CC0A36">
      <w:pPr>
        <w:widowControl/>
        <w:spacing w:line="38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联系地址：广州市越秀区流花路117号内自编7号（7号馆5楼）；</w:t>
      </w:r>
    </w:p>
    <w:p w:rsidR="00666C90" w:rsidRDefault="00CC0A36">
      <w:pPr>
        <w:widowControl/>
        <w:spacing w:line="38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联系电话：020-26080687。</w:t>
      </w:r>
    </w:p>
    <w:p w:rsidR="00666C90" w:rsidRDefault="00CC0A36">
      <w:pPr>
        <w:tabs>
          <w:tab w:val="left" w:pos="6045"/>
        </w:tabs>
        <w:ind w:leftChars="1960" w:left="4116" w:firstLineChars="1250" w:firstLine="3500"/>
        <w:jc w:val="righ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广州市城投资产经营管理有限公司流花分公司</w:t>
      </w:r>
    </w:p>
    <w:p w:rsidR="00666C90" w:rsidRDefault="00CC0A36" w:rsidP="00B07451">
      <w:pPr>
        <w:tabs>
          <w:tab w:val="left" w:pos="6045"/>
        </w:tabs>
        <w:wordWrap w:val="0"/>
        <w:ind w:leftChars="1960" w:left="4116" w:firstLineChars="150" w:firstLine="420"/>
        <w:jc w:val="righ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2020年</w:t>
      </w:r>
      <w:r w:rsidR="002E6219">
        <w:rPr>
          <w:rFonts w:ascii="仿宋_GB2312" w:eastAsia="仿宋_GB2312" w:hAnsi="仿宋" w:cs="宋体" w:hint="eastAsia"/>
          <w:kern w:val="0"/>
          <w:sz w:val="28"/>
          <w:szCs w:val="28"/>
        </w:rPr>
        <w:t>11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月</w:t>
      </w:r>
      <w:r w:rsidR="002E6219">
        <w:rPr>
          <w:rFonts w:ascii="仿宋_GB2312" w:eastAsia="仿宋_GB2312" w:hAnsi="仿宋" w:cs="宋体" w:hint="eastAsia"/>
          <w:kern w:val="0"/>
          <w:sz w:val="28"/>
          <w:szCs w:val="28"/>
        </w:rPr>
        <w:t>2</w:t>
      </w:r>
      <w:bookmarkStart w:id="2" w:name="_GoBack"/>
      <w:bookmarkEnd w:id="2"/>
      <w:r>
        <w:rPr>
          <w:rFonts w:ascii="仿宋_GB2312" w:eastAsia="仿宋_GB2312" w:hAnsi="仿宋" w:cs="宋体" w:hint="eastAsia"/>
          <w:kern w:val="0"/>
          <w:sz w:val="28"/>
          <w:szCs w:val="28"/>
        </w:rPr>
        <w:t>日</w:t>
      </w:r>
    </w:p>
    <w:sectPr w:rsidR="00666C90">
      <w:pgSz w:w="16838" w:h="11906" w:orient="landscape"/>
      <w:pgMar w:top="993" w:right="1134" w:bottom="113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E1" w:rsidRDefault="00726EE1" w:rsidP="00870C4A">
      <w:r>
        <w:separator/>
      </w:r>
    </w:p>
  </w:endnote>
  <w:endnote w:type="continuationSeparator" w:id="0">
    <w:p w:rsidR="00726EE1" w:rsidRDefault="00726EE1" w:rsidP="0087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E1" w:rsidRDefault="00726EE1" w:rsidP="00870C4A">
      <w:r>
        <w:separator/>
      </w:r>
    </w:p>
  </w:footnote>
  <w:footnote w:type="continuationSeparator" w:id="0">
    <w:p w:rsidR="00726EE1" w:rsidRDefault="00726EE1" w:rsidP="0087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2A"/>
    <w:rsid w:val="00053174"/>
    <w:rsid w:val="000627D0"/>
    <w:rsid w:val="00071AC5"/>
    <w:rsid w:val="000811F3"/>
    <w:rsid w:val="0008526B"/>
    <w:rsid w:val="000A556A"/>
    <w:rsid w:val="000C5A72"/>
    <w:rsid w:val="000D25E1"/>
    <w:rsid w:val="000E31B0"/>
    <w:rsid w:val="000F51B8"/>
    <w:rsid w:val="00107BF9"/>
    <w:rsid w:val="001253C3"/>
    <w:rsid w:val="00147A2F"/>
    <w:rsid w:val="00191965"/>
    <w:rsid w:val="0019225D"/>
    <w:rsid w:val="001B7C1A"/>
    <w:rsid w:val="001C1A63"/>
    <w:rsid w:val="001E76D4"/>
    <w:rsid w:val="001F3EA9"/>
    <w:rsid w:val="00201130"/>
    <w:rsid w:val="00223B57"/>
    <w:rsid w:val="00225F42"/>
    <w:rsid w:val="0025768B"/>
    <w:rsid w:val="00270528"/>
    <w:rsid w:val="00295B6D"/>
    <w:rsid w:val="002A143E"/>
    <w:rsid w:val="002D2641"/>
    <w:rsid w:val="002D47C8"/>
    <w:rsid w:val="002E6098"/>
    <w:rsid w:val="002E6219"/>
    <w:rsid w:val="002F41BF"/>
    <w:rsid w:val="003413BF"/>
    <w:rsid w:val="003443DC"/>
    <w:rsid w:val="00346B91"/>
    <w:rsid w:val="00386B87"/>
    <w:rsid w:val="003920D2"/>
    <w:rsid w:val="003A3AD0"/>
    <w:rsid w:val="003B6BE5"/>
    <w:rsid w:val="003D386B"/>
    <w:rsid w:val="003F1ADD"/>
    <w:rsid w:val="00401ACF"/>
    <w:rsid w:val="0040779E"/>
    <w:rsid w:val="00410649"/>
    <w:rsid w:val="00410EF6"/>
    <w:rsid w:val="0041719F"/>
    <w:rsid w:val="00436352"/>
    <w:rsid w:val="00440180"/>
    <w:rsid w:val="004517B1"/>
    <w:rsid w:val="004714DB"/>
    <w:rsid w:val="00475BFE"/>
    <w:rsid w:val="00491A4E"/>
    <w:rsid w:val="004B2BA2"/>
    <w:rsid w:val="004D1395"/>
    <w:rsid w:val="004F2374"/>
    <w:rsid w:val="00505DA8"/>
    <w:rsid w:val="00534A2A"/>
    <w:rsid w:val="005459B6"/>
    <w:rsid w:val="005469C6"/>
    <w:rsid w:val="0055730D"/>
    <w:rsid w:val="0057191E"/>
    <w:rsid w:val="005743F5"/>
    <w:rsid w:val="005D553B"/>
    <w:rsid w:val="005E6E64"/>
    <w:rsid w:val="006135F9"/>
    <w:rsid w:val="00663551"/>
    <w:rsid w:val="00666C90"/>
    <w:rsid w:val="006D7247"/>
    <w:rsid w:val="006F304F"/>
    <w:rsid w:val="006F6261"/>
    <w:rsid w:val="0071644A"/>
    <w:rsid w:val="00726EE1"/>
    <w:rsid w:val="00761EBF"/>
    <w:rsid w:val="00766DAB"/>
    <w:rsid w:val="0078141B"/>
    <w:rsid w:val="00784386"/>
    <w:rsid w:val="007C50E5"/>
    <w:rsid w:val="007E709C"/>
    <w:rsid w:val="007E779B"/>
    <w:rsid w:val="00827BDC"/>
    <w:rsid w:val="008363F6"/>
    <w:rsid w:val="00844649"/>
    <w:rsid w:val="008612F1"/>
    <w:rsid w:val="00870C4A"/>
    <w:rsid w:val="008734CD"/>
    <w:rsid w:val="00880F06"/>
    <w:rsid w:val="008863A4"/>
    <w:rsid w:val="008906FF"/>
    <w:rsid w:val="00893E1E"/>
    <w:rsid w:val="008A719B"/>
    <w:rsid w:val="008B4006"/>
    <w:rsid w:val="008D6377"/>
    <w:rsid w:val="008D67E2"/>
    <w:rsid w:val="008E13E2"/>
    <w:rsid w:val="008F1FB0"/>
    <w:rsid w:val="00911EFC"/>
    <w:rsid w:val="00966937"/>
    <w:rsid w:val="00970466"/>
    <w:rsid w:val="00975156"/>
    <w:rsid w:val="00992FA3"/>
    <w:rsid w:val="009A6DC0"/>
    <w:rsid w:val="009A6E1A"/>
    <w:rsid w:val="009B6E5E"/>
    <w:rsid w:val="009F3F33"/>
    <w:rsid w:val="009F5E23"/>
    <w:rsid w:val="009F7163"/>
    <w:rsid w:val="00A035C3"/>
    <w:rsid w:val="00A07D56"/>
    <w:rsid w:val="00A27027"/>
    <w:rsid w:val="00A448E9"/>
    <w:rsid w:val="00A708AB"/>
    <w:rsid w:val="00A85A8E"/>
    <w:rsid w:val="00A94EC2"/>
    <w:rsid w:val="00AA2331"/>
    <w:rsid w:val="00AB2265"/>
    <w:rsid w:val="00AB5FD1"/>
    <w:rsid w:val="00AC5CBA"/>
    <w:rsid w:val="00AD0E3A"/>
    <w:rsid w:val="00B07451"/>
    <w:rsid w:val="00B15F43"/>
    <w:rsid w:val="00B270D6"/>
    <w:rsid w:val="00B52173"/>
    <w:rsid w:val="00B54453"/>
    <w:rsid w:val="00B677D0"/>
    <w:rsid w:val="00B70A71"/>
    <w:rsid w:val="00B73E87"/>
    <w:rsid w:val="00B778CD"/>
    <w:rsid w:val="00B844A2"/>
    <w:rsid w:val="00B945B8"/>
    <w:rsid w:val="00B955CC"/>
    <w:rsid w:val="00BA2973"/>
    <w:rsid w:val="00BE2413"/>
    <w:rsid w:val="00BE252B"/>
    <w:rsid w:val="00BF00A9"/>
    <w:rsid w:val="00BF27B3"/>
    <w:rsid w:val="00BF47D5"/>
    <w:rsid w:val="00BF49EE"/>
    <w:rsid w:val="00C24AD0"/>
    <w:rsid w:val="00C25490"/>
    <w:rsid w:val="00C61DB0"/>
    <w:rsid w:val="00C84C84"/>
    <w:rsid w:val="00C9019E"/>
    <w:rsid w:val="00CB0964"/>
    <w:rsid w:val="00CB0F4B"/>
    <w:rsid w:val="00CC0A36"/>
    <w:rsid w:val="00CE3523"/>
    <w:rsid w:val="00CF23B3"/>
    <w:rsid w:val="00D15761"/>
    <w:rsid w:val="00D33C8D"/>
    <w:rsid w:val="00D42B3D"/>
    <w:rsid w:val="00D7725D"/>
    <w:rsid w:val="00D80578"/>
    <w:rsid w:val="00D81292"/>
    <w:rsid w:val="00D913DD"/>
    <w:rsid w:val="00D95D61"/>
    <w:rsid w:val="00DA0FE2"/>
    <w:rsid w:val="00DB335C"/>
    <w:rsid w:val="00DD413B"/>
    <w:rsid w:val="00DD6345"/>
    <w:rsid w:val="00DE40CF"/>
    <w:rsid w:val="00DF0DC8"/>
    <w:rsid w:val="00DF6DDB"/>
    <w:rsid w:val="00E07A88"/>
    <w:rsid w:val="00E17FAD"/>
    <w:rsid w:val="00E21D15"/>
    <w:rsid w:val="00E42F8A"/>
    <w:rsid w:val="00E717C8"/>
    <w:rsid w:val="00E86BC6"/>
    <w:rsid w:val="00E97EF7"/>
    <w:rsid w:val="00EA2288"/>
    <w:rsid w:val="00EA529C"/>
    <w:rsid w:val="00EE203C"/>
    <w:rsid w:val="00EE7211"/>
    <w:rsid w:val="00EF75CC"/>
    <w:rsid w:val="00F235EE"/>
    <w:rsid w:val="00F36AB0"/>
    <w:rsid w:val="00F51E69"/>
    <w:rsid w:val="00F63563"/>
    <w:rsid w:val="00F63628"/>
    <w:rsid w:val="00F93A9B"/>
    <w:rsid w:val="00F93E76"/>
    <w:rsid w:val="00FA42AC"/>
    <w:rsid w:val="00FB3286"/>
    <w:rsid w:val="00FD30F1"/>
    <w:rsid w:val="00FE717D"/>
    <w:rsid w:val="00FF1D27"/>
    <w:rsid w:val="01E557AF"/>
    <w:rsid w:val="02B11EB9"/>
    <w:rsid w:val="02E969B4"/>
    <w:rsid w:val="03DF471B"/>
    <w:rsid w:val="08E54546"/>
    <w:rsid w:val="0C920EC5"/>
    <w:rsid w:val="0D4579D0"/>
    <w:rsid w:val="155274C6"/>
    <w:rsid w:val="1CCD7FFD"/>
    <w:rsid w:val="1CE04680"/>
    <w:rsid w:val="1EB90E0E"/>
    <w:rsid w:val="1F2638F8"/>
    <w:rsid w:val="1F9253FE"/>
    <w:rsid w:val="29F23575"/>
    <w:rsid w:val="2A1C55CE"/>
    <w:rsid w:val="2BA427D9"/>
    <w:rsid w:val="2C41230D"/>
    <w:rsid w:val="2C5C55E3"/>
    <w:rsid w:val="2D0B1CC3"/>
    <w:rsid w:val="30791A50"/>
    <w:rsid w:val="3B1245DA"/>
    <w:rsid w:val="3E09465E"/>
    <w:rsid w:val="40784BEA"/>
    <w:rsid w:val="44D344B0"/>
    <w:rsid w:val="456A0318"/>
    <w:rsid w:val="45EB5B4C"/>
    <w:rsid w:val="466D5C85"/>
    <w:rsid w:val="47A20E8F"/>
    <w:rsid w:val="48961091"/>
    <w:rsid w:val="4C681EB5"/>
    <w:rsid w:val="4E7D274F"/>
    <w:rsid w:val="558009EA"/>
    <w:rsid w:val="593C766B"/>
    <w:rsid w:val="5BB9150F"/>
    <w:rsid w:val="5EA40E39"/>
    <w:rsid w:val="68092F82"/>
    <w:rsid w:val="688B43EC"/>
    <w:rsid w:val="69106358"/>
    <w:rsid w:val="6BFE2AD6"/>
    <w:rsid w:val="6C617CF2"/>
    <w:rsid w:val="6D0A258F"/>
    <w:rsid w:val="6EAB3609"/>
    <w:rsid w:val="6ED828B3"/>
    <w:rsid w:val="710B791F"/>
    <w:rsid w:val="78877FD7"/>
    <w:rsid w:val="7F7A3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locked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locked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彭莹</cp:lastModifiedBy>
  <cp:revision>13</cp:revision>
  <cp:lastPrinted>2019-12-20T09:17:00Z</cp:lastPrinted>
  <dcterms:created xsi:type="dcterms:W3CDTF">2020-10-19T09:08:00Z</dcterms:created>
  <dcterms:modified xsi:type="dcterms:W3CDTF">2020-11-02T06:15:00Z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